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22" w:rsidRPr="008A0500" w:rsidRDefault="00EF4522">
      <w:pPr>
        <w:pStyle w:val="Date"/>
        <w:spacing w:line="300" w:lineRule="exact"/>
        <w:rPr>
          <w:rFonts w:ascii="Century" w:hAnsi="Century"/>
          <w:sz w:val="22"/>
        </w:rPr>
      </w:pPr>
      <w:r w:rsidRPr="008A0500">
        <w:rPr>
          <w:rFonts w:ascii="Century" w:hAnsi="Century" w:hint="eastAsia"/>
          <w:sz w:val="22"/>
        </w:rPr>
        <w:t>＜報道関係各位＞</w:t>
      </w:r>
    </w:p>
    <w:p w:rsidR="00EF4522" w:rsidRPr="008A0500" w:rsidRDefault="00EF4522">
      <w:pPr>
        <w:pStyle w:val="Date"/>
        <w:spacing w:line="300" w:lineRule="exact"/>
        <w:jc w:val="right"/>
        <w:rPr>
          <w:sz w:val="22"/>
        </w:rPr>
      </w:pPr>
      <w:r w:rsidRPr="008A0500">
        <w:rPr>
          <w:rFonts w:hint="eastAsia"/>
          <w:sz w:val="22"/>
        </w:rPr>
        <w:t>２０１２年３月１６日</w:t>
      </w:r>
    </w:p>
    <w:p w:rsidR="00EF4522" w:rsidRPr="008A0500" w:rsidRDefault="00EF4522">
      <w:pPr>
        <w:spacing w:line="300" w:lineRule="exact"/>
        <w:jc w:val="right"/>
        <w:rPr>
          <w:sz w:val="22"/>
        </w:rPr>
      </w:pPr>
      <w:r w:rsidRPr="008A0500">
        <w:rPr>
          <w:rFonts w:ascii="ＭＳ Ｐゴシック" w:eastAsia="ＭＳ Ｐゴシック" w:hAnsi="ＭＳ Ｐゴシック" w:hint="eastAsia"/>
          <w:sz w:val="22"/>
        </w:rPr>
        <w:t>一般社団法人</w:t>
      </w:r>
      <w:r w:rsidRPr="008A0500">
        <w:rPr>
          <w:rFonts w:ascii="ＭＳ Ｐゴシック" w:eastAsia="ＭＳ Ｐゴシック" w:hAnsi="ＭＳ Ｐゴシック"/>
          <w:sz w:val="22"/>
        </w:rPr>
        <w:t xml:space="preserve"> </w:t>
      </w:r>
      <w:r w:rsidRPr="008A0500">
        <w:rPr>
          <w:rFonts w:ascii="ＭＳ Ｐゴシック" w:eastAsia="ＭＳ Ｐゴシック" w:hAnsi="ＭＳ Ｐゴシック" w:hint="eastAsia"/>
          <w:sz w:val="22"/>
        </w:rPr>
        <w:t>日本化学工業協会</w:t>
      </w:r>
    </w:p>
    <w:p w:rsidR="00EF4522" w:rsidRDefault="00EF4522" w:rsidP="004A2AE1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noProof/>
        </w:rPr>
        <w:pict>
          <v:roundrect id="_x0000_s1030" style="position:absolute;left:0;text-align:left;margin-left:-12pt;margin-top:13.95pt;width:450pt;height:69.95pt;z-index:251657728" arcsize="10923f" strokeweight="3pt">
            <v:stroke linestyle="thinThin"/>
            <v:textbox inset="5.85pt,.7pt,5.85pt,.7pt">
              <w:txbxContent>
                <w:p w:rsidR="00EF4522" w:rsidRPr="008A0500" w:rsidRDefault="00EF4522" w:rsidP="00FB72B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6"/>
                      <w:szCs w:val="26"/>
                    </w:rPr>
                  </w:pPr>
                  <w:r w:rsidRPr="008A0500">
                    <w:rPr>
                      <w:rFonts w:ascii="ＭＳ ゴシック" w:eastAsia="ＭＳ ゴシック" w:hAnsi="ＭＳ ゴシック" w:hint="eastAsia"/>
                      <w:b/>
                      <w:sz w:val="26"/>
                      <w:szCs w:val="26"/>
                    </w:rPr>
                    <w:t>グリーン･プロダクツの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6"/>
                      <w:szCs w:val="26"/>
                    </w:rPr>
                    <w:t>ＣＯ</w:t>
                  </w:r>
                  <w:r w:rsidRPr="008A0500">
                    <w:rPr>
                      <w:rFonts w:ascii="ＭＳ ゴシック" w:eastAsia="ＭＳ ゴシック" w:hAnsi="ＭＳ ゴシック"/>
                      <w:b/>
                      <w:sz w:val="26"/>
                      <w:szCs w:val="26"/>
                    </w:rPr>
                    <w:t>2</w:t>
                  </w:r>
                  <w:r w:rsidRPr="008A0500">
                    <w:rPr>
                      <w:rFonts w:ascii="ＭＳ ゴシック" w:eastAsia="ＭＳ ゴシック" w:hAnsi="ＭＳ ゴシック" w:hint="eastAsia"/>
                      <w:b/>
                      <w:sz w:val="26"/>
                      <w:szCs w:val="26"/>
                    </w:rPr>
                    <w:t>排出削減貢献量算定のガイドラインを発行</w:t>
                  </w:r>
                </w:p>
                <w:p w:rsidR="00EF4522" w:rsidRPr="00414214" w:rsidRDefault="00EF4522" w:rsidP="00FB72B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32"/>
                    </w:rPr>
                    <w:t>ｃ－ＬＣＡ</w:t>
                  </w:r>
                  <w:r w:rsidRPr="00414214">
                    <w:rPr>
                      <w:rFonts w:ascii="ＭＳ ゴシック" w:eastAsia="ＭＳ ゴシック" w:hAnsi="ＭＳ ゴシック" w:hint="eastAsia"/>
                      <w:b/>
                      <w:szCs w:val="32"/>
                    </w:rPr>
                    <w:t>手法を適用した「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Cs w:val="32"/>
                    </w:rPr>
                    <w:t>ＣＯ</w:t>
                  </w:r>
                  <w:r w:rsidRPr="00414214">
                    <w:rPr>
                      <w:rFonts w:ascii="ＭＳ ゴシック" w:eastAsia="ＭＳ ゴシック" w:hAnsi="ＭＳ ゴシック"/>
                      <w:b/>
                      <w:szCs w:val="32"/>
                    </w:rPr>
                    <w:t>2</w:t>
                  </w:r>
                  <w:r w:rsidRPr="00414214">
                    <w:rPr>
                      <w:rFonts w:ascii="ＭＳ ゴシック" w:eastAsia="ＭＳ ゴシック" w:hAnsi="ＭＳ ゴシック" w:hint="eastAsia"/>
                      <w:b/>
                      <w:szCs w:val="32"/>
                    </w:rPr>
                    <w:t>排出削減貢献量の算定法」の</w:t>
                  </w:r>
                </w:p>
                <w:p w:rsidR="00EF4522" w:rsidRPr="00414214" w:rsidRDefault="00EF4522" w:rsidP="00FB72B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21"/>
                    </w:rPr>
                  </w:pPr>
                  <w:r w:rsidRPr="00414214">
                    <w:rPr>
                      <w:rFonts w:ascii="ＭＳ ゴシック" w:eastAsia="ＭＳ ゴシック" w:hAnsi="ＭＳ ゴシック" w:hint="eastAsia"/>
                      <w:b/>
                      <w:szCs w:val="32"/>
                    </w:rPr>
                    <w:t>国際標準化をめざして</w:t>
                  </w:r>
                </w:p>
                <w:p w:rsidR="00EF4522" w:rsidRPr="00FB72B4" w:rsidRDefault="00EF4522"/>
              </w:txbxContent>
            </v:textbox>
          </v:roundrect>
        </w:pict>
      </w:r>
    </w:p>
    <w:p w:rsidR="00EF4522" w:rsidRDefault="00EF4522" w:rsidP="004A2AE1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:rsidR="00EF4522" w:rsidRDefault="00EF4522" w:rsidP="004A2AE1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:rsidR="00EF4522" w:rsidRDefault="00EF4522" w:rsidP="004A2AE1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:rsidR="00EF4522" w:rsidRDefault="00EF4522" w:rsidP="004A2AE1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:rsidR="00EF4522" w:rsidRDefault="00EF4522" w:rsidP="00662327">
      <w:pPr>
        <w:spacing w:line="20" w:lineRule="atLeast"/>
        <w:rPr>
          <w:rFonts w:ascii="ＭＳ ゴシック" w:eastAsia="ＭＳ ゴシック" w:hAnsi="ＭＳ ゴシック"/>
          <w:sz w:val="22"/>
        </w:rPr>
      </w:pPr>
      <w:r w:rsidRPr="008336B7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EF4522" w:rsidRPr="00662327" w:rsidRDefault="00EF4522" w:rsidP="00FB72B4">
      <w:pPr>
        <w:spacing w:line="20" w:lineRule="atLeast"/>
        <w:ind w:firstLineChars="50" w:firstLine="11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一般社団法人　日本化学工業協会（会長：藤吉建二　三井化学株式会社会長　以下、日化協）では、</w:t>
      </w:r>
      <w:r>
        <w:rPr>
          <w:rFonts w:ascii="ＭＳ ゴシック" w:eastAsia="ＭＳ ゴシック" w:hAnsi="ＭＳ ゴシック" w:hint="eastAsia"/>
          <w:sz w:val="22"/>
        </w:rPr>
        <w:t>環境に配慮した</w:t>
      </w:r>
      <w:r w:rsidRPr="00662327">
        <w:rPr>
          <w:rFonts w:ascii="ＭＳ ゴシック" w:eastAsia="ＭＳ ゴシック" w:hAnsi="ＭＳ ゴシック" w:hint="eastAsia"/>
          <w:sz w:val="22"/>
        </w:rPr>
        <w:t>グリーン・プロダクツの</w:t>
      </w:r>
      <w:r>
        <w:rPr>
          <w:rFonts w:ascii="ＭＳ ゴシック" w:eastAsia="ＭＳ ゴシック" w:hAnsi="ＭＳ ゴシック" w:hint="eastAsia"/>
          <w:sz w:val="22"/>
        </w:rPr>
        <w:t>ＣＯ</w:t>
      </w:r>
      <w:r w:rsidRPr="00662327">
        <w:rPr>
          <w:rFonts w:ascii="ＭＳ ゴシック" w:eastAsia="ＭＳ ゴシック" w:hAnsi="ＭＳ ゴシック"/>
          <w:sz w:val="22"/>
        </w:rPr>
        <w:t>2</w:t>
      </w:r>
      <w:r w:rsidRPr="00662327">
        <w:rPr>
          <w:rFonts w:ascii="ＭＳ ゴシック" w:eastAsia="ＭＳ ゴシック" w:hAnsi="ＭＳ ゴシック" w:hint="eastAsia"/>
          <w:sz w:val="22"/>
        </w:rPr>
        <w:t>排出削減貢献量を評価する手法のガイドラインを策定し、本日、ガイドライン冊子を発行致しました。</w:t>
      </w:r>
    </w:p>
    <w:p w:rsidR="00EF4522" w:rsidRDefault="00EF4522" w:rsidP="00662327">
      <w:pPr>
        <w:spacing w:line="2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EF4522" w:rsidRPr="00662327" w:rsidRDefault="00EF4522" w:rsidP="00662327">
      <w:pPr>
        <w:spacing w:line="2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本ガイドラインは、日化協技術委員会の中に、住友化学、旭化成、三菱</w:t>
      </w:r>
      <w:r>
        <w:rPr>
          <w:rFonts w:ascii="ＭＳ ゴシック" w:eastAsia="ＭＳ ゴシック" w:hAnsi="ＭＳ ゴシック" w:hint="eastAsia"/>
          <w:sz w:val="22"/>
        </w:rPr>
        <w:t>ケミカルホールディングス</w:t>
      </w:r>
      <w:r w:rsidRPr="00662327">
        <w:rPr>
          <w:rFonts w:ascii="ＭＳ ゴシック" w:eastAsia="ＭＳ ゴシック" w:hAnsi="ＭＳ ゴシック" w:hint="eastAsia"/>
          <w:sz w:val="22"/>
        </w:rPr>
        <w:t>、三井化学、富士フイルム、東レなど革新的材料を生産するメーカーを中心に１７社３協会によるＬＣＡワーキンググループを組織し、</w:t>
      </w:r>
      <w:r>
        <w:rPr>
          <w:rFonts w:ascii="ＭＳ ゴシック" w:eastAsia="ＭＳ ゴシック" w:hAnsi="ＭＳ ゴシック" w:hint="eastAsia"/>
          <w:sz w:val="22"/>
        </w:rPr>
        <w:t>半年以上かけて検討してきたものです（本ガイドラインを作成するにあたり、みずほ情報総研、エティーサ研究所にご指導いただき、また、東京大学大学院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工学系研究科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化学システム工学専攻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平尾雅彦教授にご助言いただきました）。</w:t>
      </w:r>
    </w:p>
    <w:p w:rsidR="00EF4522" w:rsidRPr="00662327" w:rsidRDefault="00EF4522" w:rsidP="00662327">
      <w:pPr>
        <w:spacing w:line="2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本ガイドラインは、製品を製造する段階だけでなく、原料採取、製造、物流、使用、廃棄にわたるライフサイクル全体での</w:t>
      </w:r>
      <w:r>
        <w:rPr>
          <w:rFonts w:ascii="ＭＳ ゴシック" w:eastAsia="ＭＳ ゴシック" w:hAnsi="ＭＳ ゴシック" w:hint="eastAsia"/>
          <w:sz w:val="22"/>
        </w:rPr>
        <w:t>ＣＯ</w:t>
      </w:r>
      <w:r w:rsidRPr="00662327">
        <w:rPr>
          <w:rFonts w:ascii="ＭＳ ゴシック" w:eastAsia="ＭＳ ゴシック" w:hAnsi="ＭＳ ゴシック"/>
          <w:sz w:val="22"/>
        </w:rPr>
        <w:t>2</w:t>
      </w:r>
      <w:r w:rsidRPr="00662327">
        <w:rPr>
          <w:rFonts w:ascii="ＭＳ ゴシック" w:eastAsia="ＭＳ ゴシック" w:hAnsi="ＭＳ ゴシック" w:hint="eastAsia"/>
          <w:sz w:val="22"/>
        </w:rPr>
        <w:t>排出量を評価する</w:t>
      </w:r>
      <w:r>
        <w:rPr>
          <w:rFonts w:ascii="ＭＳ ゴシック" w:eastAsia="ＭＳ ゴシック" w:hAnsi="ＭＳ ゴシック" w:hint="eastAsia"/>
          <w:sz w:val="22"/>
        </w:rPr>
        <w:t>ｃ－ＬＣＡ</w:t>
      </w:r>
      <w:r w:rsidRPr="00662327">
        <w:rPr>
          <w:rFonts w:ascii="ＭＳ ゴシック" w:eastAsia="ＭＳ ゴシック" w:hAnsi="ＭＳ ゴシック" w:hint="eastAsia"/>
          <w:sz w:val="22"/>
        </w:rPr>
        <w:t>（カーボンライフサイクルアナリシス）手法</w:t>
      </w:r>
      <w:r>
        <w:rPr>
          <w:rFonts w:ascii="ＭＳ ゴシック" w:eastAsia="ＭＳ ゴシック" w:hAnsi="ＭＳ ゴシック" w:hint="eastAsia"/>
          <w:sz w:val="22"/>
        </w:rPr>
        <w:t>を適用しております。本ｃ－ＬＣＡ手法にて算定した二つの製品（評価対象製品と比較製品）を比較し、その総排出量の差分をＣＯ</w:t>
      </w:r>
      <w:r>
        <w:rPr>
          <w:rFonts w:ascii="ＭＳ ゴシック" w:eastAsia="ＭＳ ゴシック" w:hAnsi="ＭＳ ゴシック"/>
          <w:sz w:val="22"/>
        </w:rPr>
        <w:t>2</w:t>
      </w:r>
      <w:r>
        <w:rPr>
          <w:rFonts w:ascii="ＭＳ ゴシック" w:eastAsia="ＭＳ ゴシック" w:hAnsi="ＭＳ ゴシック" w:hint="eastAsia"/>
          <w:sz w:val="22"/>
        </w:rPr>
        <w:t>排出削減貢献量として評価する手法について、</w:t>
      </w:r>
      <w:r w:rsidRPr="00662327">
        <w:rPr>
          <w:rFonts w:ascii="ＭＳ ゴシック" w:eastAsia="ＭＳ ゴシック" w:hAnsi="ＭＳ ゴシック" w:hint="eastAsia"/>
          <w:sz w:val="22"/>
        </w:rPr>
        <w:t>貢献量算定方法、比較と対象とする製品の選択方法、データの透明性を確保するための方法等、実践上の留意点を中心に構成されています。</w:t>
      </w:r>
    </w:p>
    <w:p w:rsidR="00EF4522" w:rsidRPr="00662327" w:rsidRDefault="00EF4522" w:rsidP="00662327">
      <w:pPr>
        <w:spacing w:line="2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今後は、他業界と連携し国内における産業界全体で</w:t>
      </w:r>
      <w:r>
        <w:rPr>
          <w:rFonts w:ascii="ＭＳ ゴシック" w:eastAsia="ＭＳ ゴシック" w:hAnsi="ＭＳ ゴシック" w:hint="eastAsia"/>
          <w:sz w:val="22"/>
        </w:rPr>
        <w:t>の本</w:t>
      </w:r>
      <w:r w:rsidRPr="00662327">
        <w:rPr>
          <w:rFonts w:ascii="ＭＳ ゴシック" w:eastAsia="ＭＳ ゴシック" w:hAnsi="ＭＳ ゴシック" w:hint="eastAsia"/>
          <w:sz w:val="22"/>
        </w:rPr>
        <w:t>ガイドラインの</w:t>
      </w:r>
      <w:r>
        <w:rPr>
          <w:rFonts w:ascii="ＭＳ ゴシック" w:eastAsia="ＭＳ ゴシック" w:hAnsi="ＭＳ ゴシック" w:hint="eastAsia"/>
          <w:sz w:val="22"/>
        </w:rPr>
        <w:t>共有・活用</w:t>
      </w:r>
      <w:r w:rsidRPr="00662327">
        <w:rPr>
          <w:rFonts w:ascii="ＭＳ ゴシック" w:eastAsia="ＭＳ ゴシック" w:hAnsi="ＭＳ ゴシック" w:hint="eastAsia"/>
          <w:sz w:val="22"/>
        </w:rPr>
        <w:t>と、</w:t>
      </w:r>
      <w:r>
        <w:rPr>
          <w:rFonts w:ascii="ＭＳ ゴシック" w:eastAsia="ＭＳ ゴシック" w:hAnsi="ＭＳ ゴシック" w:hint="eastAsia"/>
          <w:sz w:val="22"/>
        </w:rPr>
        <w:t>ＩＣＣＡ</w:t>
      </w:r>
      <w:r w:rsidRPr="00662327">
        <w:rPr>
          <w:rFonts w:ascii="ＭＳ ゴシック" w:eastAsia="ＭＳ ゴシック" w:hAnsi="ＭＳ ゴシック" w:hint="eastAsia"/>
          <w:sz w:val="22"/>
        </w:rPr>
        <w:t>（国際化学工業協会協議会）を通じた化学業界</w:t>
      </w:r>
      <w:r>
        <w:rPr>
          <w:rFonts w:ascii="ＭＳ ゴシック" w:eastAsia="ＭＳ ゴシック" w:hAnsi="ＭＳ ゴシック" w:hint="eastAsia"/>
          <w:sz w:val="22"/>
        </w:rPr>
        <w:t>で適用可能な</w:t>
      </w:r>
      <w:r w:rsidRPr="00662327">
        <w:rPr>
          <w:rFonts w:ascii="ＭＳ ゴシック" w:eastAsia="ＭＳ ゴシック" w:hAnsi="ＭＳ ゴシック" w:hint="eastAsia"/>
          <w:sz w:val="22"/>
        </w:rPr>
        <w:t>国際標準作りを積極的に推進していきます。</w:t>
      </w:r>
    </w:p>
    <w:p w:rsidR="00EF4522" w:rsidRPr="00662327" w:rsidRDefault="00EF4522" w:rsidP="00662327">
      <w:pPr>
        <w:spacing w:line="20" w:lineRule="atLeast"/>
        <w:rPr>
          <w:rFonts w:ascii="ＭＳ Ｐゴシック" w:eastAsia="ＭＳ Ｐゴシック" w:hAnsi="ＭＳ Ｐゴシック"/>
          <w:b/>
          <w:sz w:val="22"/>
        </w:rPr>
      </w:pPr>
    </w:p>
    <w:p w:rsidR="00EF4522" w:rsidRPr="00FB72B4" w:rsidRDefault="00EF4522" w:rsidP="009D4A1A">
      <w:pPr>
        <w:spacing w:line="24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FB72B4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ガイドライン作成</w:t>
      </w: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の目的</w:t>
      </w:r>
    </w:p>
    <w:p w:rsidR="00EF4522" w:rsidRPr="00662327" w:rsidRDefault="00EF4522" w:rsidP="00FB72B4">
      <w:pPr>
        <w:spacing w:line="240" w:lineRule="atLeast"/>
        <w:ind w:leftChars="100" w:left="240" w:firstLineChars="100" w:firstLine="22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グリーン・プロダクツの</w:t>
      </w:r>
      <w:r>
        <w:rPr>
          <w:rFonts w:ascii="ＭＳ ゴシック" w:eastAsia="ＭＳ ゴシック" w:hAnsi="ＭＳ ゴシック" w:hint="eastAsia"/>
          <w:sz w:val="22"/>
        </w:rPr>
        <w:t>ＣＯ</w:t>
      </w:r>
      <w:r w:rsidRPr="00662327">
        <w:rPr>
          <w:rFonts w:ascii="ＭＳ ゴシック" w:eastAsia="ＭＳ ゴシック" w:hAnsi="ＭＳ ゴシック"/>
          <w:sz w:val="22"/>
        </w:rPr>
        <w:t>2</w:t>
      </w:r>
      <w:r w:rsidRPr="00662327">
        <w:rPr>
          <w:rFonts w:ascii="ＭＳ ゴシック" w:eastAsia="ＭＳ ゴシック" w:hAnsi="ＭＳ ゴシック" w:hint="eastAsia"/>
          <w:sz w:val="22"/>
        </w:rPr>
        <w:t>排出削減貢献量算定に当たっては、ライフサイクル全体を対象に評価する</w:t>
      </w:r>
      <w:r>
        <w:rPr>
          <w:rFonts w:ascii="ＭＳ ゴシック" w:eastAsia="ＭＳ ゴシック" w:hAnsi="ＭＳ ゴシック" w:hint="eastAsia"/>
          <w:sz w:val="22"/>
        </w:rPr>
        <w:t>ｃ－ＬＣＡ</w:t>
      </w:r>
      <w:r w:rsidRPr="00662327">
        <w:rPr>
          <w:rFonts w:ascii="ＭＳ ゴシック" w:eastAsia="ＭＳ ゴシック" w:hAnsi="ＭＳ ゴシック" w:hint="eastAsia"/>
          <w:sz w:val="22"/>
        </w:rPr>
        <w:t>の手法が使われますが、現状では統一した基準がなく算定者の判断に委ねられていたため、手法・算定方法の違いによる結果のバラツキ、あるいは算定数値の一人歩き等の問題が発生していました。</w:t>
      </w:r>
    </w:p>
    <w:p w:rsidR="00EF4522" w:rsidRPr="00662327" w:rsidRDefault="00EF4522" w:rsidP="00FB72B4">
      <w:pPr>
        <w:spacing w:line="240" w:lineRule="atLeast"/>
        <w:ind w:leftChars="100" w:left="240" w:firstLineChars="100" w:firstLine="22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本ガイドラインは、</w:t>
      </w:r>
      <w:r>
        <w:rPr>
          <w:rFonts w:ascii="ＭＳ ゴシック" w:eastAsia="ＭＳ ゴシック" w:hAnsi="ＭＳ ゴシック" w:hint="eastAsia"/>
          <w:sz w:val="22"/>
        </w:rPr>
        <w:t>ＣＯ</w:t>
      </w:r>
      <w:r w:rsidRPr="00662327">
        <w:rPr>
          <w:rFonts w:ascii="ＭＳ ゴシック" w:eastAsia="ＭＳ ゴシック" w:hAnsi="ＭＳ ゴシック"/>
          <w:sz w:val="22"/>
        </w:rPr>
        <w:t>2</w:t>
      </w:r>
      <w:r w:rsidRPr="00662327">
        <w:rPr>
          <w:rFonts w:ascii="ＭＳ ゴシック" w:eastAsia="ＭＳ ゴシック" w:hAnsi="ＭＳ ゴシック" w:hint="eastAsia"/>
          <w:sz w:val="22"/>
        </w:rPr>
        <w:t>排出削減貢献量を算定する手法の統一基準を提示したもので、実践上の留意事項を抽出・整理することにより、手法・算定方法の違いによる結果のバラツキを防止し、</w:t>
      </w:r>
      <w:r>
        <w:rPr>
          <w:rFonts w:ascii="ＭＳ ゴシック" w:eastAsia="ＭＳ ゴシック" w:hAnsi="ＭＳ ゴシック" w:hint="eastAsia"/>
          <w:sz w:val="22"/>
        </w:rPr>
        <w:t>ｃ－ＬＣＡ</w:t>
      </w:r>
      <w:r w:rsidRPr="00662327">
        <w:rPr>
          <w:rFonts w:ascii="ＭＳ ゴシック" w:eastAsia="ＭＳ ゴシック" w:hAnsi="ＭＳ ゴシック" w:hint="eastAsia"/>
          <w:sz w:val="22"/>
        </w:rPr>
        <w:t>の透明性、信頼性を高め、企業の事業戦略や国のグリーン・イノベーション政策へ活用できるようにすることを目的としています。</w:t>
      </w:r>
    </w:p>
    <w:p w:rsidR="00EF4522" w:rsidRPr="00662327" w:rsidRDefault="00EF4522" w:rsidP="00662327">
      <w:pPr>
        <w:spacing w:line="240" w:lineRule="atLeast"/>
        <w:rPr>
          <w:rFonts w:ascii="ＭＳ ゴシック" w:eastAsia="ＭＳ ゴシック" w:hAnsi="ＭＳ ゴシック"/>
          <w:sz w:val="22"/>
        </w:rPr>
      </w:pPr>
    </w:p>
    <w:p w:rsidR="00EF4522" w:rsidRPr="00FB72B4" w:rsidRDefault="00EF4522" w:rsidP="00662327">
      <w:pPr>
        <w:spacing w:line="24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82.4pt;margin-top:-17.25pt;width:137.4pt;height:194.2pt;z-index:251659776" stroked="t">
            <v:imagedata r:id="rId7" o:title=""/>
            <v:shadow on="t" opacity=".5" offset="6pt,6pt"/>
            <w10:wrap type="square"/>
          </v:shape>
        </w:pict>
      </w:r>
      <w:r>
        <w:rPr>
          <w:noProof/>
        </w:rPr>
        <w:pict>
          <v:rect id="_x0000_s1032" style="position:absolute;left:0;text-align:left;margin-left:24pt;margin-top:-63pt;width:396pt;height:53.95pt;z-index:251658752" stroked="f">
            <v:textbox inset="5.85pt,.7pt,5.85pt,.7pt"/>
          </v:rect>
        </w:pict>
      </w:r>
      <w:r w:rsidRPr="00FB72B4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ガイドラインの概要</w:t>
      </w:r>
    </w:p>
    <w:p w:rsidR="00EF4522" w:rsidRPr="00FB72B4" w:rsidRDefault="00EF4522" w:rsidP="00FB72B4">
      <w:pPr>
        <w:pStyle w:val="ListParagraph"/>
        <w:numPr>
          <w:ilvl w:val="0"/>
          <w:numId w:val="3"/>
        </w:numPr>
        <w:spacing w:line="24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ｃ－ＬＣＡ</w:t>
      </w:r>
      <w:r w:rsidRPr="00FB72B4">
        <w:rPr>
          <w:rFonts w:ascii="ＭＳ ゴシック" w:eastAsia="ＭＳ ゴシック" w:hAnsi="ＭＳ ゴシック" w:hint="eastAsia"/>
          <w:sz w:val="22"/>
        </w:rPr>
        <w:t>評価の基本的な考え方（</w:t>
      </w:r>
      <w:r>
        <w:rPr>
          <w:rFonts w:ascii="ＭＳ ゴシック" w:eastAsia="ＭＳ ゴシック" w:hAnsi="ＭＳ ゴシック" w:hint="eastAsia"/>
          <w:sz w:val="22"/>
        </w:rPr>
        <w:t>ｃ－ＬＣＡ</w:t>
      </w:r>
      <w:r w:rsidRPr="00FB72B4">
        <w:rPr>
          <w:rFonts w:ascii="ＭＳ ゴシック" w:eastAsia="ＭＳ ゴシック" w:hAnsi="ＭＳ ゴシック" w:hint="eastAsia"/>
          <w:sz w:val="22"/>
        </w:rPr>
        <w:t>手法と</w:t>
      </w:r>
      <w:r>
        <w:rPr>
          <w:rFonts w:ascii="ＭＳ ゴシック" w:eastAsia="ＭＳ ゴシック" w:hAnsi="ＭＳ ゴシック" w:hint="eastAsia"/>
          <w:sz w:val="22"/>
        </w:rPr>
        <w:t>ＣＯ</w:t>
      </w:r>
      <w:r w:rsidRPr="00FB72B4">
        <w:rPr>
          <w:rFonts w:ascii="ＭＳ ゴシック" w:eastAsia="ＭＳ ゴシック" w:hAnsi="ＭＳ ゴシック"/>
          <w:sz w:val="22"/>
        </w:rPr>
        <w:t>2</w:t>
      </w:r>
      <w:r w:rsidRPr="00FB72B4">
        <w:rPr>
          <w:rFonts w:ascii="ＭＳ ゴシック" w:eastAsia="ＭＳ ゴシック" w:hAnsi="ＭＳ ゴシック" w:hint="eastAsia"/>
          <w:sz w:val="22"/>
        </w:rPr>
        <w:t>排出削減貢献量の概念）</w:t>
      </w:r>
    </w:p>
    <w:p w:rsidR="00EF4522" w:rsidRPr="00FB72B4" w:rsidRDefault="00EF4522" w:rsidP="00FB72B4">
      <w:pPr>
        <w:pStyle w:val="ListParagraph"/>
        <w:numPr>
          <w:ilvl w:val="0"/>
          <w:numId w:val="3"/>
        </w:numPr>
        <w:spacing w:line="24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ＣＯ</w:t>
      </w:r>
      <w:r w:rsidRPr="00FB72B4">
        <w:rPr>
          <w:rFonts w:ascii="ＭＳ ゴシック" w:eastAsia="ＭＳ ゴシック" w:hAnsi="ＭＳ ゴシック"/>
          <w:sz w:val="22"/>
        </w:rPr>
        <w:t>2</w:t>
      </w:r>
      <w:r w:rsidRPr="00FB72B4">
        <w:rPr>
          <w:rFonts w:ascii="ＭＳ ゴシック" w:eastAsia="ＭＳ ゴシック" w:hAnsi="ＭＳ ゴシック" w:hint="eastAsia"/>
          <w:sz w:val="22"/>
        </w:rPr>
        <w:t>排出削減貢献量の算定方法（基本的方法、簡易的方法）</w:t>
      </w:r>
    </w:p>
    <w:p w:rsidR="00EF4522" w:rsidRPr="00FB72B4" w:rsidRDefault="00EF4522" w:rsidP="00FB72B4">
      <w:pPr>
        <w:pStyle w:val="ListParagraph"/>
        <w:numPr>
          <w:ilvl w:val="0"/>
          <w:numId w:val="3"/>
        </w:numPr>
        <w:spacing w:line="240" w:lineRule="atLeast"/>
        <w:ind w:leftChars="0" w:rightChars="-118" w:right="-283"/>
        <w:rPr>
          <w:rFonts w:ascii="ＭＳ ゴシック" w:eastAsia="ＭＳ ゴシック" w:hAnsi="ＭＳ ゴシック"/>
          <w:sz w:val="22"/>
        </w:rPr>
      </w:pPr>
      <w:r w:rsidRPr="00FB72B4">
        <w:rPr>
          <w:rFonts w:ascii="ＭＳ ゴシック" w:eastAsia="ＭＳ ゴシック" w:hAnsi="ＭＳ ゴシック" w:hint="eastAsia"/>
          <w:sz w:val="22"/>
        </w:rPr>
        <w:t>算定における諸条件の設定（比較製品選定の要件、貢献製品とする範囲の特定等）</w:t>
      </w:r>
    </w:p>
    <w:p w:rsidR="00EF4522" w:rsidRPr="00FB72B4" w:rsidRDefault="00EF4522" w:rsidP="00FB72B4">
      <w:pPr>
        <w:pStyle w:val="ListParagraph"/>
        <w:numPr>
          <w:ilvl w:val="0"/>
          <w:numId w:val="3"/>
        </w:numPr>
        <w:spacing w:line="240" w:lineRule="atLeast"/>
        <w:ind w:leftChars="0"/>
        <w:rPr>
          <w:rFonts w:ascii="ＭＳ ゴシック" w:eastAsia="ＭＳ ゴシック" w:hAnsi="ＭＳ ゴシック"/>
          <w:sz w:val="22"/>
        </w:rPr>
      </w:pPr>
      <w:r w:rsidRPr="00FB72B4">
        <w:rPr>
          <w:rFonts w:ascii="ＭＳ ゴシック" w:eastAsia="ＭＳ ゴシック" w:hAnsi="ＭＳ ゴシック" w:hint="eastAsia"/>
          <w:sz w:val="22"/>
        </w:rPr>
        <w:t>データの信頼性、透明性、妥当性</w:t>
      </w:r>
    </w:p>
    <w:p w:rsidR="00EF4522" w:rsidRPr="00FB72B4" w:rsidRDefault="00EF4522" w:rsidP="00FB72B4">
      <w:pPr>
        <w:pStyle w:val="ListParagraph"/>
        <w:numPr>
          <w:ilvl w:val="0"/>
          <w:numId w:val="3"/>
        </w:numPr>
        <w:spacing w:line="240" w:lineRule="atLeast"/>
        <w:ind w:leftChars="0"/>
        <w:rPr>
          <w:rFonts w:ascii="ＭＳ ゴシック" w:eastAsia="ＭＳ ゴシック" w:hAnsi="ＭＳ ゴシック"/>
          <w:sz w:val="22"/>
        </w:rPr>
      </w:pPr>
      <w:r w:rsidRPr="00FB72B4">
        <w:rPr>
          <w:rFonts w:ascii="ＭＳ ゴシック" w:eastAsia="ＭＳ ゴシック" w:hAnsi="ＭＳ ゴシック" w:hint="eastAsia"/>
          <w:sz w:val="22"/>
        </w:rPr>
        <w:t>寄与率の考え方　等</w:t>
      </w:r>
    </w:p>
    <w:p w:rsidR="00EF4522" w:rsidRPr="00662327" w:rsidRDefault="00EF4522" w:rsidP="00662327">
      <w:pPr>
        <w:spacing w:line="240" w:lineRule="atLeast"/>
        <w:rPr>
          <w:rFonts w:ascii="ＭＳ ゴシック" w:eastAsia="ＭＳ ゴシック" w:hAnsi="ＭＳ ゴシック"/>
          <w:sz w:val="22"/>
        </w:rPr>
      </w:pPr>
    </w:p>
    <w:p w:rsidR="00EF4522" w:rsidRPr="00FB72B4" w:rsidRDefault="00EF4522" w:rsidP="00662327">
      <w:pPr>
        <w:spacing w:line="24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ＣＯ</w:t>
      </w:r>
      <w:r w:rsidRPr="00FB72B4">
        <w:rPr>
          <w:rFonts w:ascii="ＭＳ ゴシック" w:eastAsia="ＭＳ ゴシック" w:hAnsi="ＭＳ ゴシック"/>
          <w:b/>
          <w:sz w:val="22"/>
          <w:bdr w:val="single" w:sz="4" w:space="0" w:color="auto"/>
        </w:rPr>
        <w:t>2</w:t>
      </w:r>
      <w:r w:rsidRPr="00FB72B4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排出削減貢献量算定の目的</w:t>
      </w:r>
    </w:p>
    <w:p w:rsidR="00EF4522" w:rsidRPr="00662327" w:rsidRDefault="00EF4522" w:rsidP="00662327">
      <w:pPr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化学製品・技術が果たしている</w:t>
      </w:r>
      <w:r>
        <w:rPr>
          <w:rFonts w:ascii="ＭＳ ゴシック" w:eastAsia="ＭＳ ゴシック" w:hAnsi="ＭＳ ゴシック" w:hint="eastAsia"/>
          <w:sz w:val="22"/>
        </w:rPr>
        <w:t>ＣＯ</w:t>
      </w:r>
      <w:r w:rsidRPr="00662327">
        <w:rPr>
          <w:rFonts w:ascii="ＭＳ ゴシック" w:eastAsia="ＭＳ ゴシック" w:hAnsi="ＭＳ ゴシック"/>
          <w:sz w:val="22"/>
        </w:rPr>
        <w:t>2</w:t>
      </w:r>
      <w:r w:rsidRPr="00662327">
        <w:rPr>
          <w:rFonts w:ascii="ＭＳ ゴシック" w:eastAsia="ＭＳ ゴシック" w:hAnsi="ＭＳ ゴシック" w:hint="eastAsia"/>
          <w:sz w:val="22"/>
        </w:rPr>
        <w:t>排出削減への貢献を定量的に「見える化」して、社会に貢献する産業であることを明確にする。</w:t>
      </w:r>
    </w:p>
    <w:p w:rsidR="00EF4522" w:rsidRPr="00662327" w:rsidRDefault="00EF4522" w:rsidP="00662327">
      <w:pPr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化学製品・技術による</w:t>
      </w:r>
      <w:r>
        <w:rPr>
          <w:rFonts w:ascii="ＭＳ ゴシック" w:eastAsia="ＭＳ ゴシック" w:hAnsi="ＭＳ ゴシック" w:hint="eastAsia"/>
          <w:sz w:val="22"/>
        </w:rPr>
        <w:t>ＣＯ</w:t>
      </w:r>
      <w:r w:rsidRPr="00662327">
        <w:rPr>
          <w:rFonts w:ascii="ＭＳ ゴシック" w:eastAsia="ＭＳ ゴシック" w:hAnsi="ＭＳ ゴシック"/>
          <w:sz w:val="22"/>
        </w:rPr>
        <w:t>2</w:t>
      </w:r>
      <w:r w:rsidRPr="00662327">
        <w:rPr>
          <w:rFonts w:ascii="ＭＳ ゴシック" w:eastAsia="ＭＳ ゴシック" w:hAnsi="ＭＳ ゴシック" w:hint="eastAsia"/>
          <w:sz w:val="22"/>
        </w:rPr>
        <w:t>排出削減の更なる推進に繋がるような政策実現（技術開発支援や普及インセンティブなど）への働きかけ。</w:t>
      </w:r>
      <w:r w:rsidRPr="00662327">
        <w:rPr>
          <w:rFonts w:ascii="ＭＳ ゴシック" w:eastAsia="ＭＳ ゴシック" w:hAnsi="ＭＳ ゴシック"/>
          <w:sz w:val="22"/>
        </w:rPr>
        <w:t xml:space="preserve"> </w:t>
      </w:r>
    </w:p>
    <w:p w:rsidR="00EF4522" w:rsidRPr="00662327" w:rsidRDefault="00EF4522" w:rsidP="00662327">
      <w:pPr>
        <w:numPr>
          <w:ilvl w:val="0"/>
          <w:numId w:val="2"/>
        </w:numPr>
        <w:spacing w:line="240" w:lineRule="atLeast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個別企業における事業計画、技術開発目標等、経営指標の一つとして活用。</w:t>
      </w:r>
    </w:p>
    <w:p w:rsidR="00EF4522" w:rsidRPr="00662327" w:rsidRDefault="00EF4522" w:rsidP="00662327">
      <w:pPr>
        <w:spacing w:line="240" w:lineRule="atLeast"/>
        <w:ind w:left="720"/>
        <w:rPr>
          <w:rFonts w:ascii="ＭＳ ゴシック" w:eastAsia="ＭＳ ゴシック" w:hAnsi="ＭＳ ゴシック"/>
          <w:sz w:val="22"/>
        </w:rPr>
      </w:pPr>
    </w:p>
    <w:p w:rsidR="00EF4522" w:rsidRPr="00662327" w:rsidRDefault="00EF4522" w:rsidP="00662327">
      <w:pPr>
        <w:spacing w:line="240" w:lineRule="atLeast"/>
        <w:rPr>
          <w:rFonts w:ascii="ＭＳ ゴシック" w:eastAsia="ＭＳ ゴシック" w:hAnsi="ＭＳ ゴシック"/>
          <w:b/>
          <w:sz w:val="22"/>
        </w:rPr>
      </w:pPr>
      <w:r w:rsidRPr="00FB72B4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今後の展開</w:t>
      </w:r>
    </w:p>
    <w:p w:rsidR="00EF4522" w:rsidRPr="00FB72B4" w:rsidRDefault="00EF4522" w:rsidP="00662327">
      <w:pPr>
        <w:spacing w:line="24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FB72B4">
        <w:rPr>
          <w:rFonts w:ascii="ＭＳ ゴシック" w:eastAsia="ＭＳ ゴシック" w:hAnsi="ＭＳ ゴシック" w:hint="eastAsia"/>
          <w:b/>
          <w:sz w:val="22"/>
          <w:u w:val="single"/>
        </w:rPr>
        <w:t>１．国際標準作り</w:t>
      </w:r>
    </w:p>
    <w:p w:rsidR="00EF4522" w:rsidRPr="00662327" w:rsidRDefault="00EF4522" w:rsidP="00FB72B4">
      <w:pPr>
        <w:autoSpaceDE w:val="0"/>
        <w:autoSpaceDN w:val="0"/>
        <w:adjustRightInd w:val="0"/>
        <w:spacing w:line="240" w:lineRule="atLeast"/>
        <w:ind w:leftChars="100" w:left="240"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>日化協は、ライフサイクル全体での排出削減貢献量を算定する手法を、グローバルに広め、国際標準作りにおいてもリードしてい</w:t>
      </w:r>
      <w:r>
        <w:rPr>
          <w:rFonts w:ascii="ＭＳ ゴシック" w:eastAsia="ＭＳ ゴシック" w:hAnsi="ＭＳ ゴシック" w:hint="eastAsia"/>
          <w:sz w:val="22"/>
        </w:rPr>
        <w:t>く予定で</w:t>
      </w:r>
      <w:r w:rsidRPr="00662327">
        <w:rPr>
          <w:rFonts w:ascii="ＭＳ ゴシック" w:eastAsia="ＭＳ ゴシック" w:hAnsi="ＭＳ ゴシック" w:hint="eastAsia"/>
          <w:sz w:val="22"/>
        </w:rPr>
        <w:t>す。先進材料分野、グリーン・プロダクトで世界をリードしている日本であるからこそ、そうした中で主導的立場をとることが可能であり、国際標準は今後のイノベーションをリードする基盤となります。</w:t>
      </w:r>
    </w:p>
    <w:p w:rsidR="00EF4522" w:rsidRPr="00FB72B4" w:rsidRDefault="00EF4522" w:rsidP="00662327">
      <w:pPr>
        <w:spacing w:line="24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FB72B4">
        <w:rPr>
          <w:rFonts w:ascii="ＭＳ ゴシック" w:eastAsia="ＭＳ ゴシック" w:hAnsi="ＭＳ ゴシック" w:hint="eastAsia"/>
          <w:b/>
          <w:sz w:val="22"/>
          <w:u w:val="single"/>
        </w:rPr>
        <w:t>２．産業界での連携</w:t>
      </w:r>
    </w:p>
    <w:p w:rsidR="00EF4522" w:rsidRPr="00662327" w:rsidRDefault="00EF4522" w:rsidP="00FB72B4">
      <w:pPr>
        <w:spacing w:line="240" w:lineRule="atLeast"/>
        <w:ind w:leftChars="100" w:left="24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 xml:space="preserve">　他業界においても</w:t>
      </w:r>
      <w:r>
        <w:rPr>
          <w:rFonts w:ascii="ＭＳ ゴシック" w:eastAsia="ＭＳ ゴシック" w:hAnsi="ＭＳ ゴシック" w:hint="eastAsia"/>
          <w:sz w:val="22"/>
        </w:rPr>
        <w:t>ｃ－ＬＣＡ</w:t>
      </w:r>
      <w:r w:rsidRPr="00662327">
        <w:rPr>
          <w:rFonts w:ascii="ＭＳ ゴシック" w:eastAsia="ＭＳ ゴシック" w:hAnsi="ＭＳ ゴシック" w:hint="eastAsia"/>
          <w:sz w:val="22"/>
        </w:rPr>
        <w:t>への関心が高まりつつあり、日化協は、他業界と連携して国内における産業界全体でのガイドライン</w:t>
      </w:r>
      <w:r>
        <w:rPr>
          <w:rFonts w:ascii="ＭＳ ゴシック" w:eastAsia="ＭＳ ゴシック" w:hAnsi="ＭＳ ゴシック" w:hint="eastAsia"/>
          <w:sz w:val="22"/>
        </w:rPr>
        <w:t>の共有・活用</w:t>
      </w:r>
      <w:r w:rsidRPr="00662327">
        <w:rPr>
          <w:rFonts w:ascii="ＭＳ ゴシック" w:eastAsia="ＭＳ ゴシック" w:hAnsi="ＭＳ ゴシック" w:hint="eastAsia"/>
          <w:sz w:val="22"/>
        </w:rPr>
        <w:t>を推進していきます。</w:t>
      </w:r>
    </w:p>
    <w:p w:rsidR="00EF4522" w:rsidRPr="00FB72B4" w:rsidRDefault="00EF4522" w:rsidP="00662327">
      <w:pPr>
        <w:spacing w:line="240" w:lineRule="atLeast"/>
        <w:rPr>
          <w:rFonts w:ascii="ＭＳ ゴシック" w:eastAsia="ＭＳ ゴシック" w:hAnsi="ＭＳ ゴシック"/>
          <w:b/>
          <w:sz w:val="22"/>
          <w:u w:val="single"/>
        </w:rPr>
      </w:pPr>
      <w:r w:rsidRPr="00FB72B4">
        <w:rPr>
          <w:rFonts w:ascii="ＭＳ ゴシック" w:eastAsia="ＭＳ ゴシック" w:hAnsi="ＭＳ ゴシック" w:hint="eastAsia"/>
          <w:b/>
          <w:sz w:val="22"/>
          <w:u w:val="single"/>
        </w:rPr>
        <w:t>３．ガイドラインの見直し</w:t>
      </w:r>
    </w:p>
    <w:p w:rsidR="00EF4522" w:rsidRDefault="00EF4522" w:rsidP="00FB72B4">
      <w:pPr>
        <w:spacing w:line="240" w:lineRule="atLeast"/>
        <w:ind w:leftChars="100" w:left="240"/>
        <w:rPr>
          <w:rFonts w:ascii="ＭＳ ゴシック" w:eastAsia="ＭＳ ゴシック" w:hAnsi="ＭＳ ゴシック"/>
          <w:sz w:val="22"/>
        </w:rPr>
      </w:pPr>
      <w:r w:rsidRPr="00662327">
        <w:rPr>
          <w:rFonts w:ascii="ＭＳ ゴシック" w:eastAsia="ＭＳ ゴシック" w:hAnsi="ＭＳ ゴシック" w:hint="eastAsia"/>
          <w:sz w:val="22"/>
        </w:rPr>
        <w:t xml:space="preserve">　上記、国際標準作りや産業界との連携等も踏まえた中で、本ガイドラインの有効性を確保していくべく、日化協は今後とも必要な改定を行っていきます。</w:t>
      </w:r>
    </w:p>
    <w:p w:rsidR="00EF4522" w:rsidRDefault="00EF4522" w:rsidP="00662327">
      <w:pPr>
        <w:spacing w:line="20" w:lineRule="atLeast"/>
        <w:rPr>
          <w:rFonts w:ascii="ＭＳ ゴシック" w:eastAsia="ＭＳ ゴシック" w:hAnsi="ＭＳ ゴシック"/>
          <w:sz w:val="22"/>
        </w:rPr>
      </w:pPr>
    </w:p>
    <w:p w:rsidR="00EF4522" w:rsidRPr="009D4A1A" w:rsidRDefault="00EF4522" w:rsidP="009D4A1A">
      <w:pPr>
        <w:spacing w:line="240" w:lineRule="atLeast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作</w:t>
      </w:r>
      <w:r w:rsidRPr="00FB72B4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成者</w:t>
      </w:r>
    </w:p>
    <w:p w:rsidR="00EF4522" w:rsidRPr="00FB72B4" w:rsidRDefault="00EF4522" w:rsidP="009C63E3">
      <w:pPr>
        <w:spacing w:line="240" w:lineRule="atLeast"/>
        <w:rPr>
          <w:rFonts w:ascii="ＭＳ ゴシック" w:eastAsia="ＭＳ ゴシック" w:hAnsi="ＭＳ ゴシック"/>
          <w:b/>
          <w:sz w:val="22"/>
        </w:rPr>
      </w:pPr>
      <w:r w:rsidRPr="00FB72B4">
        <w:rPr>
          <w:rFonts w:ascii="ＭＳ ゴシック" w:eastAsia="ＭＳ ゴシック" w:hAnsi="ＭＳ ゴシック" w:hint="eastAsia"/>
          <w:b/>
          <w:sz w:val="22"/>
        </w:rPr>
        <w:t>日化協技術委員会</w:t>
      </w:r>
      <w:r>
        <w:rPr>
          <w:rFonts w:ascii="ＭＳ ゴシック" w:eastAsia="ＭＳ ゴシック" w:hAnsi="ＭＳ ゴシック" w:hint="eastAsia"/>
          <w:b/>
          <w:sz w:val="22"/>
        </w:rPr>
        <w:t>ＬＣＡ</w:t>
      </w:r>
      <w:r w:rsidRPr="00FB72B4">
        <w:rPr>
          <w:rFonts w:ascii="ＭＳ ゴシック" w:eastAsia="ＭＳ ゴシック" w:hAnsi="ＭＳ ゴシック" w:hint="eastAsia"/>
          <w:b/>
          <w:sz w:val="22"/>
        </w:rPr>
        <w:t>ワーキンググループメンバー会社・協会</w:t>
      </w:r>
      <w:r>
        <w:rPr>
          <w:rFonts w:ascii="ＭＳ ゴシック" w:eastAsia="ＭＳ ゴシック" w:hAnsi="ＭＳ ゴシック" w:hint="eastAsia"/>
          <w:sz w:val="22"/>
        </w:rPr>
        <w:t>（五十音順）</w:t>
      </w:r>
    </w:p>
    <w:p w:rsidR="00EF4522" w:rsidRDefault="00EF4522" w:rsidP="00FB72B4">
      <w:pPr>
        <w:spacing w:line="240" w:lineRule="atLeast"/>
        <w:ind w:leftChars="100" w:left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旭化成㈱、旭硝子㈱、宇部興産㈱、花王㈱、㈱カネカ、昭和電工㈱、住友化学㈱、</w:t>
      </w:r>
    </w:p>
    <w:p w:rsidR="00EF4522" w:rsidRDefault="00EF4522" w:rsidP="00FB72B4">
      <w:pPr>
        <w:spacing w:line="240" w:lineRule="atLeast"/>
        <w:ind w:leftChars="100" w:left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積水化学工業㈱、帝人㈱、東燃化学合同会社、㈱トクヤマ、東レ㈱、㈱日本触媒、</w:t>
      </w:r>
    </w:p>
    <w:p w:rsidR="00EF4522" w:rsidRDefault="00EF4522" w:rsidP="00FB72B4">
      <w:pPr>
        <w:spacing w:line="240" w:lineRule="atLeast"/>
        <w:ind w:leftChars="100" w:left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日本ペイント㈱、富士フイルム㈱、三井化学㈱、㈱三菱ケミカルホールディングス、</w:t>
      </w:r>
    </w:p>
    <w:p w:rsidR="00EF4522" w:rsidRDefault="00EF4522" w:rsidP="00FB72B4">
      <w:pPr>
        <w:spacing w:line="240" w:lineRule="atLeast"/>
        <w:ind w:leftChars="100" w:left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塩ビ工業・環境協会、日本プラスチック工業連盟、</w:t>
      </w:r>
      <w:r>
        <w:rPr>
          <w:rFonts w:ascii="ＭＳ ゴシック" w:eastAsia="ＭＳ ゴシック" w:hAnsi="ＭＳ ゴシック"/>
          <w:sz w:val="22"/>
        </w:rPr>
        <w:t>(</w:t>
      </w:r>
      <w:r>
        <w:rPr>
          <w:rFonts w:ascii="ＭＳ ゴシック" w:eastAsia="ＭＳ ゴシック" w:hAnsi="ＭＳ ゴシック" w:hint="eastAsia"/>
          <w:sz w:val="22"/>
        </w:rPr>
        <w:t>社</w:t>
      </w:r>
      <w:r>
        <w:rPr>
          <w:rFonts w:ascii="ＭＳ ゴシック" w:eastAsia="ＭＳ ゴシック" w:hAnsi="ＭＳ ゴシック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プラスチック処理促進協会</w:t>
      </w:r>
    </w:p>
    <w:p w:rsidR="00EF4522" w:rsidRDefault="00EF4522" w:rsidP="00662327">
      <w:pPr>
        <w:spacing w:line="20" w:lineRule="atLeast"/>
        <w:rPr>
          <w:rFonts w:ascii="ＭＳ ゴシック" w:eastAsia="ＭＳ ゴシック" w:hAnsi="ＭＳ ゴシック"/>
          <w:sz w:val="22"/>
        </w:rPr>
      </w:pPr>
    </w:p>
    <w:p w:rsidR="00EF4522" w:rsidRPr="008336B7" w:rsidRDefault="00EF4522" w:rsidP="00662327">
      <w:pPr>
        <w:spacing w:line="20" w:lineRule="atLeast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w:pict>
          <v:rect id="_x0000_s1033" style="position:absolute;left:0;text-align:left;margin-left:-4.05pt;margin-top:13.2pt;width:420.75pt;height:56.25pt;z-index:251655680" filled="f" stroked="f" strokeweight=".25pt">
            <v:textbox style="mso-next-textbox:#_x0000_s1033" inset="5.85pt,.7pt,5.85pt,.7pt">
              <w:txbxContent>
                <w:p w:rsidR="00EF4522" w:rsidRDefault="00EF4522" w:rsidP="008336B7">
                  <w:pPr>
                    <w:spacing w:line="240" w:lineRule="atLeast"/>
                    <w:jc w:val="left"/>
                    <w:rPr>
                      <w:rFonts w:ascii="ＭＳ Ｐゴシック" w:eastAsia="ＭＳ Ｐゴシック" w:hAnsi="ＭＳ Ｐゴシック"/>
                      <w:b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  <w:t>【本件に関する</w:t>
                  </w:r>
                  <w:r w:rsidRPr="00A14CC9">
                    <w:rPr>
                      <w:rFonts w:ascii="ＭＳ Ｐゴシック" w:eastAsia="ＭＳ Ｐゴシック" w:hAnsi="ＭＳ Ｐゴシック" w:hint="eastAsia"/>
                      <w:b/>
                      <w:sz w:val="20"/>
                    </w:rPr>
                    <w:t>お問い合わせ先】</w:t>
                  </w:r>
                </w:p>
                <w:p w:rsidR="00EF4522" w:rsidRDefault="00EF4522" w:rsidP="00FB72B4">
                  <w:pPr>
                    <w:spacing w:line="240" w:lineRule="atLeast"/>
                    <w:ind w:leftChars="200" w:left="480"/>
                    <w:jc w:val="left"/>
                    <w:rPr>
                      <w:rFonts w:ascii="Bookman Old Style" w:eastAsia="ＭＳ Ｐゴシック" w:hAnsi="Bookman Old Style"/>
                      <w:sz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一般社団法人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</w:rPr>
                    <w:t xml:space="preserve">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日本化学工業協会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</w:rPr>
                    <w:t xml:space="preserve">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広報部　高橋／小林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</w:rPr>
                    <w:t xml:space="preserve">  </w:t>
                  </w:r>
                  <w:r w:rsidRPr="00A14CC9">
                    <w:rPr>
                      <w:rFonts w:ascii="Bookman Old Style" w:eastAsia="ＭＳ Ｐゴシック" w:hAnsi="Bookman Old Style"/>
                      <w:sz w:val="21"/>
                    </w:rPr>
                    <w:t>TEL</w:t>
                  </w:r>
                  <w:r>
                    <w:rPr>
                      <w:rFonts w:ascii="Bookman Old Style" w:eastAsia="ＭＳ Ｐゴシック" w:hAnsi="Bookman Old Style" w:hint="eastAsia"/>
                      <w:sz w:val="21"/>
                    </w:rPr>
                    <w:t>：</w:t>
                  </w:r>
                  <w:r>
                    <w:rPr>
                      <w:rFonts w:ascii="Bookman Old Style" w:eastAsia="ＭＳ Ｐゴシック" w:hAnsi="Bookman Old Style"/>
                      <w:sz w:val="21"/>
                    </w:rPr>
                    <w:t>03-3297-2555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4.05pt;margin-top:10.2pt;width:435pt;height:0;z-index:251656704" o:connectortype="straight"/>
        </w:pict>
      </w:r>
    </w:p>
    <w:sectPr w:rsidR="00EF4522" w:rsidRPr="008336B7" w:rsidSect="005A0912">
      <w:headerReference w:type="default" r:id="rId8"/>
      <w:footerReference w:type="default" r:id="rId9"/>
      <w:pgSz w:w="11906" w:h="16838" w:code="9"/>
      <w:pgMar w:top="1701" w:right="1701" w:bottom="1304" w:left="1701" w:header="851" w:footer="510" w:gutter="0"/>
      <w:cols w:space="425"/>
      <w:docGrid w:type="lines" w:linePitch="3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22" w:rsidRDefault="00EF4522">
      <w:r>
        <w:separator/>
      </w:r>
    </w:p>
  </w:endnote>
  <w:endnote w:type="continuationSeparator" w:id="0">
    <w:p w:rsidR="00EF4522" w:rsidRDefault="00EF4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22" w:rsidRDefault="00EF452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22" w:rsidRDefault="00EF4522">
      <w:r>
        <w:separator/>
      </w:r>
    </w:p>
  </w:footnote>
  <w:footnote w:type="continuationSeparator" w:id="0">
    <w:p w:rsidR="00EF4522" w:rsidRDefault="00EF4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22" w:rsidRDefault="00EF4522">
    <w:pPr>
      <w:pStyle w:val="Header"/>
      <w:jc w:val="center"/>
    </w:pPr>
    <w:r>
      <w:rPr>
        <w:noProof/>
      </w:rPr>
      <w:pict>
        <v:group id="_x0000_s2049" style="position:absolute;left:0;text-align:left;margin-left:71.75pt;margin-top:-16.6pt;width:303.7pt;height:51.75pt;z-index:251660288" coordorigin="2927,414" coordsize="5606,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959;top:516;width:689;height:796;mso-wrap-edited:f">
            <v:imagedata r:id="rId1" o:title=""/>
          </v:shape>
          <v:shape id="_x0000_s2051" type="#_x0000_t75" style="position:absolute;left:7857;top:489;width:676;height:791;mso-wrap-edited:f"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927;top:414;width:5546;height:1035" filled="f" stroked="f">
            <v:textbox style="mso-next-textbox:#_x0000_s2052">
              <w:txbxContent>
                <w:p w:rsidR="00EF4522" w:rsidRDefault="00EF4522">
                  <w:pPr>
                    <w:spacing w:line="400" w:lineRule="exact"/>
                    <w:jc w:val="center"/>
                    <w:rPr>
                      <w:rFonts w:eastAsia="MS UI Gothic"/>
                      <w:b/>
                      <w:sz w:val="21"/>
                    </w:rPr>
                  </w:pPr>
                  <w:r>
                    <w:rPr>
                      <w:rFonts w:eastAsia="MS UI Gothic" w:hint="eastAsia"/>
                      <w:b/>
                      <w:sz w:val="21"/>
                    </w:rPr>
                    <w:t>一般社団法人</w:t>
                  </w:r>
                  <w:r>
                    <w:rPr>
                      <w:rFonts w:eastAsia="MS UI Gothic"/>
                      <w:b/>
                      <w:sz w:val="21"/>
                    </w:rPr>
                    <w:t xml:space="preserve"> </w:t>
                  </w:r>
                  <w:r>
                    <w:rPr>
                      <w:rFonts w:eastAsia="MS UI Gothic" w:hint="eastAsia"/>
                      <w:b/>
                      <w:sz w:val="21"/>
                    </w:rPr>
                    <w:t>日本化学工業協会</w:t>
                  </w:r>
                </w:p>
                <w:p w:rsidR="00EF4522" w:rsidRDefault="00EF4522">
                  <w:pPr>
                    <w:spacing w:line="180" w:lineRule="exact"/>
                    <w:jc w:val="center"/>
                    <w:rPr>
                      <w:rFonts w:ascii="MS UI Gothic" w:eastAsia="MS UI Gothic" w:hAnsi="MS UI Gothic"/>
                      <w:sz w:val="13"/>
                    </w:rPr>
                  </w:pPr>
                  <w:r>
                    <w:rPr>
                      <w:rFonts w:ascii="MS UI Gothic" w:eastAsia="MS UI Gothic" w:hAnsi="MS UI Gothic" w:hint="eastAsia"/>
                      <w:sz w:val="13"/>
                    </w:rPr>
                    <w:t>〒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 xml:space="preserve">104-0033 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東京都中央区新川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1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丁目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4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番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1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号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 xml:space="preserve"> 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住友不動産六甲ビル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7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階</w:t>
                  </w:r>
                </w:p>
                <w:p w:rsidR="00EF4522" w:rsidRDefault="00EF4522">
                  <w:pPr>
                    <w:spacing w:line="180" w:lineRule="exact"/>
                    <w:jc w:val="center"/>
                  </w:pPr>
                  <w:r>
                    <w:rPr>
                      <w:rFonts w:ascii="MS UI Gothic" w:eastAsia="MS UI Gothic" w:hAnsi="MS UI Gothic"/>
                      <w:sz w:val="13"/>
                    </w:rPr>
                    <w:t>TEL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：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03-3297-2555  FAX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：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03-3297-2615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 xml:space="preserve">　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URL</w:t>
                  </w:r>
                  <w:r>
                    <w:rPr>
                      <w:rFonts w:ascii="MS UI Gothic" w:eastAsia="MS UI Gothic" w:hAnsi="MS UI Gothic" w:hint="eastAsia"/>
                      <w:sz w:val="13"/>
                    </w:rPr>
                    <w:t>：</w:t>
                  </w:r>
                  <w:r>
                    <w:rPr>
                      <w:rFonts w:ascii="MS UI Gothic" w:eastAsia="MS UI Gothic" w:hAnsi="MS UI Gothic"/>
                      <w:sz w:val="13"/>
                    </w:rPr>
                    <w:t>http://www.nikkakyo.org/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B19"/>
    <w:multiLevelType w:val="hybridMultilevel"/>
    <w:tmpl w:val="002AC960"/>
    <w:lvl w:ilvl="0" w:tplc="F35CCA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413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428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684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41E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B035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810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4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C24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61C88"/>
    <w:multiLevelType w:val="hybridMultilevel"/>
    <w:tmpl w:val="96F0053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FFA7E8F"/>
    <w:multiLevelType w:val="hybridMultilevel"/>
    <w:tmpl w:val="9F1C7918"/>
    <w:lvl w:ilvl="0" w:tplc="E500F7F8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840"/>
  <w:drawingGridHorizontalSpacing w:val="120"/>
  <w:drawingGridVerticalSpacing w:val="345"/>
  <w:displayHorizontalDrawingGridEvery w:val="0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B11"/>
    <w:rsid w:val="00002298"/>
    <w:rsid w:val="00007DE0"/>
    <w:rsid w:val="00064C54"/>
    <w:rsid w:val="00073160"/>
    <w:rsid w:val="00086D1A"/>
    <w:rsid w:val="00087894"/>
    <w:rsid w:val="000C34CC"/>
    <w:rsid w:val="00112C15"/>
    <w:rsid w:val="001218D3"/>
    <w:rsid w:val="00133A4C"/>
    <w:rsid w:val="00143181"/>
    <w:rsid w:val="00167B0E"/>
    <w:rsid w:val="001C5390"/>
    <w:rsid w:val="00200AD6"/>
    <w:rsid w:val="00200C85"/>
    <w:rsid w:val="002033E8"/>
    <w:rsid w:val="0021440E"/>
    <w:rsid w:val="002811E4"/>
    <w:rsid w:val="002C1AE9"/>
    <w:rsid w:val="002C648B"/>
    <w:rsid w:val="002D0510"/>
    <w:rsid w:val="00324EDD"/>
    <w:rsid w:val="003649ED"/>
    <w:rsid w:val="003A27BA"/>
    <w:rsid w:val="003B3EAF"/>
    <w:rsid w:val="003C4D31"/>
    <w:rsid w:val="003E2CE5"/>
    <w:rsid w:val="00414214"/>
    <w:rsid w:val="0044169C"/>
    <w:rsid w:val="00464E19"/>
    <w:rsid w:val="0048131C"/>
    <w:rsid w:val="00483CBF"/>
    <w:rsid w:val="0048723E"/>
    <w:rsid w:val="00490444"/>
    <w:rsid w:val="0049378E"/>
    <w:rsid w:val="004A2AE1"/>
    <w:rsid w:val="004A5F25"/>
    <w:rsid w:val="004E5042"/>
    <w:rsid w:val="004F7065"/>
    <w:rsid w:val="00513E29"/>
    <w:rsid w:val="00550351"/>
    <w:rsid w:val="005A0912"/>
    <w:rsid w:val="005D2FBD"/>
    <w:rsid w:val="005D3433"/>
    <w:rsid w:val="005F0769"/>
    <w:rsid w:val="005F5D7B"/>
    <w:rsid w:val="0062757B"/>
    <w:rsid w:val="00662327"/>
    <w:rsid w:val="00690BAF"/>
    <w:rsid w:val="00691318"/>
    <w:rsid w:val="00692457"/>
    <w:rsid w:val="006D224F"/>
    <w:rsid w:val="00700559"/>
    <w:rsid w:val="007342A7"/>
    <w:rsid w:val="00752C33"/>
    <w:rsid w:val="0081296C"/>
    <w:rsid w:val="00813CB1"/>
    <w:rsid w:val="00820DB6"/>
    <w:rsid w:val="008336B7"/>
    <w:rsid w:val="00856AD2"/>
    <w:rsid w:val="00882C6B"/>
    <w:rsid w:val="0089779A"/>
    <w:rsid w:val="008A0500"/>
    <w:rsid w:val="008F6DF3"/>
    <w:rsid w:val="00911DB4"/>
    <w:rsid w:val="00923CB9"/>
    <w:rsid w:val="00934A69"/>
    <w:rsid w:val="00941C1C"/>
    <w:rsid w:val="009B2FB7"/>
    <w:rsid w:val="009C63E3"/>
    <w:rsid w:val="009D4A1A"/>
    <w:rsid w:val="009D5EB1"/>
    <w:rsid w:val="009F4E8B"/>
    <w:rsid w:val="00A14CC9"/>
    <w:rsid w:val="00A574C2"/>
    <w:rsid w:val="00A973AE"/>
    <w:rsid w:val="00B012A2"/>
    <w:rsid w:val="00B32B05"/>
    <w:rsid w:val="00B43032"/>
    <w:rsid w:val="00B5349E"/>
    <w:rsid w:val="00B53AD5"/>
    <w:rsid w:val="00BB459D"/>
    <w:rsid w:val="00BF715B"/>
    <w:rsid w:val="00C161E7"/>
    <w:rsid w:val="00C3396B"/>
    <w:rsid w:val="00C4355C"/>
    <w:rsid w:val="00C56FFC"/>
    <w:rsid w:val="00CB4C63"/>
    <w:rsid w:val="00D44AA6"/>
    <w:rsid w:val="00D97526"/>
    <w:rsid w:val="00DA56FA"/>
    <w:rsid w:val="00DB1752"/>
    <w:rsid w:val="00DB3051"/>
    <w:rsid w:val="00E013FF"/>
    <w:rsid w:val="00E30ED9"/>
    <w:rsid w:val="00E86912"/>
    <w:rsid w:val="00E90B11"/>
    <w:rsid w:val="00EB4446"/>
    <w:rsid w:val="00ED2A07"/>
    <w:rsid w:val="00ED2CA6"/>
    <w:rsid w:val="00EE0988"/>
    <w:rsid w:val="00EE7D38"/>
    <w:rsid w:val="00EF4522"/>
    <w:rsid w:val="00F16264"/>
    <w:rsid w:val="00F300C5"/>
    <w:rsid w:val="00F43612"/>
    <w:rsid w:val="00F73F1D"/>
    <w:rsid w:val="00FB72B4"/>
    <w:rsid w:val="00FC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63"/>
    <w:pPr>
      <w:widowControl w:val="0"/>
      <w:jc w:val="both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4C6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character" w:customStyle="1" w:styleId="a">
    <w:name w:val="ヘッダー (文字)"/>
    <w:basedOn w:val="DefaultParagraphFont"/>
    <w:uiPriority w:val="99"/>
    <w:semiHidden/>
    <w:rsid w:val="00CB4C63"/>
    <w:rPr>
      <w:rFonts w:cs="Times New Roman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CB4C6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character" w:customStyle="1" w:styleId="a0">
    <w:name w:val="フッター (文字)"/>
    <w:basedOn w:val="DefaultParagraphFont"/>
    <w:uiPriority w:val="99"/>
    <w:semiHidden/>
    <w:rsid w:val="00CB4C63"/>
    <w:rPr>
      <w:rFonts w:cs="Times New Roman"/>
      <w:kern w:val="2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rsid w:val="00CB4C63"/>
    <w:rPr>
      <w:rFonts w:ascii="ＭＳ Ｐゴシック" w:eastAsia="ＭＳ Ｐゴシック" w:hAnsi="ＭＳ Ｐゴシック"/>
      <w:sz w:val="21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50351"/>
    <w:rPr>
      <w:rFonts w:ascii="ＭＳ Ｐゴシック" w:eastAsia="ＭＳ Ｐゴシック" w:hAnsi="ＭＳ Ｐゴシック" w:cs="Times New Roman"/>
      <w:kern w:val="2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E90B11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90B1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90B11"/>
    <w:rPr>
      <w:rFonts w:cs="Times New Roman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0B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90B11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0B11"/>
    <w:rPr>
      <w:rFonts w:ascii="Arial" w:eastAsia="ＭＳ ゴシック" w:hAnsi="Arial"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4F70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C539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278</Words>
  <Characters>1589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～化学産業界が大学院化学系専攻の人材育成を支援～</dc:title>
  <dc:subject/>
  <dc:creator>SAKAGUCHI</dc:creator>
  <cp:keywords/>
  <dc:description/>
  <cp:lastModifiedBy> </cp:lastModifiedBy>
  <cp:revision>2</cp:revision>
  <cp:lastPrinted>2012-03-07T08:02:00Z</cp:lastPrinted>
  <dcterms:created xsi:type="dcterms:W3CDTF">2012-03-16T06:46:00Z</dcterms:created>
  <dcterms:modified xsi:type="dcterms:W3CDTF">2012-03-16T06:46:00Z</dcterms:modified>
</cp:coreProperties>
</file>